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5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800"/>
        <w:gridCol w:w="3365"/>
        <w:gridCol w:w="650"/>
        <w:gridCol w:w="2749"/>
        <w:gridCol w:w="1992"/>
      </w:tblGrid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Ходатайство об установлении публичного сервитута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46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города Мичуринска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 Тамбовской области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(наименование органа, принимающего решение об установлении публичного сервитута)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лице, представившем ходатайство об установлении публичного сервитута (далее - заявитель):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Полное наименование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                    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«Газпром газораспределение Тамбов»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Сокращенное наименование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АО «Газпром газораспределение Тамбов»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Организационно-правовая форма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Почтовый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392000, Тамбовская область,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г. Тамбов, ул. Московская, д. 19 Д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2.5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info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@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tog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.ru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2.6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ОГРН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1026801221810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2.7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6832003117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представителе заявителя: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Фамилия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Лях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Имя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Павел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Отчество (при наличии)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Тадеушевич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info@tog.ru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Телефон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tbl>
            <w:tblPr>
              <w:tblW w:w="0" w:type="auto"/>
              <w:jc w:val="center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ook w:val="0000" w:firstRow="0" w:lastRow="0" w:firstColumn="0" w:lastColumn="0" w:noHBand="0" w:noVBand="0"/>
            </w:tblPr>
            <w:tblGrid>
              <w:gridCol w:w="1955"/>
            </w:tblGrid>
            <w:tr>
              <w:tblPrEx/>
              <w:trPr>
                <w:jc w:val="center"/>
                <w:trHeight w:val="67"/>
              </w:trPr>
              <w:tc>
                <w:tcPr>
                  <w:tcW w:w="0" w:type="auto"/>
                  <w:textDirection w:val="lrTb"/>
                  <w:noWrap w:val="false"/>
                </w:tcPr>
                <w:p>
                  <w:pPr>
                    <w:pStyle w:val="838"/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auto"/>
                      <w:sz w:val="22"/>
                      <w:szCs w:val="22"/>
                      <w:lang w:eastAsia="ru-RU"/>
                    </w:rPr>
                    <w:t xml:space="preserve">+7 (4752) 78-42-19</w:t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r>
                </w:p>
              </w:tc>
            </w:tr>
          </w:tbl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Наименование и реквизиты документа, подтверждающего полномочия представителя заявителя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highlight w:val="none"/>
              </w:rPr>
              <w:t xml:space="preserve">Приказ № 175 от 20.05.2025</w:t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Прошу установить публичный сервитут в отношении земель и (или) земельного(ых) участка(ов) в целях (указываются цели, предусмотренные статьей 39.37 Земельного кодекса Российской Федерации или статьей 3.6 Федерального закона от 25 октября 2001 г.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137-ФЗ "О введении в действие Земельного кодекса Российской Федерации", частью 4.2 статьи 25 Федеральн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ого закона от 8 ноября 2007 г. №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Федерации"):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i/>
              </w:rPr>
              <w:t xml:space="preserve">в целях размещения сооружения, право собственности на которое возникло до 01.09.2018 и которое может размещаться на земельном участке и (или) землях на основании публичного сервитута</w:t>
            </w:r>
            <w:r>
              <w:rPr>
                <w:rFonts w:ascii="Times New Roman" w:hAnsi="Times New Roman" w:cs="Times New Roman"/>
                <w:i/>
              </w:rPr>
              <w:t xml:space="preserve"> (в соответствии с п. </w:t>
            </w:r>
            <w:r>
              <w:rPr>
                <w:rFonts w:ascii="Times New Roman" w:hAnsi="Times New Roman" w:cs="Times New Roman"/>
                <w:i/>
              </w:rPr>
              <w:t xml:space="preserve">3</w:t>
            </w:r>
            <w:r>
              <w:rPr>
                <w:rFonts w:ascii="Times New Roman" w:hAnsi="Times New Roman" w:cs="Times New Roman"/>
                <w:i/>
              </w:rPr>
              <w:t xml:space="preserve"> ст. </w:t>
            </w:r>
            <w:r>
              <w:rPr>
                <w:rFonts w:ascii="Times New Roman" w:hAnsi="Times New Roman" w:cs="Times New Roman"/>
                <w:i/>
              </w:rPr>
              <w:t xml:space="preserve">3.6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Федерального закона от 25 октября 2001 г. № 137-ФЗ «О введении в действие Земельного кодекса Российской Федерации»</w:t>
            </w:r>
            <w:r>
              <w:rPr>
                <w:rFonts w:ascii="Times New Roman" w:hAnsi="Times New Roman" w:cs="Times New Roman"/>
                <w:i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Испрашиваемый срок публичного сервитута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                 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49 лет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hyperlink r:id="rId8" w:tooltip="https://base.garant.ru/12124624/0deb16c5f61d078635b619914dde3291/#block_394114" w:anchor="block_394114" w:history="1">
              <w:r>
                <w:rPr>
                  <w:rFonts w:ascii="Times New Roman" w:hAnsi="Times New Roman" w:eastAsia="Times New Roman" w:cs="Times New Roman"/>
                  <w:b/>
                  <w:bCs/>
                  <w:lang w:eastAsia="ru-RU"/>
                </w:rPr>
                <w:t xml:space="preserve">подпунктом 4 пункта 1 статьи 39.41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Земельного кодекса Российской Федерации невозможно или существенно затруднено (при возникновении таких обстоятельств)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Срок не установлен. График выполнения р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абот при осуществлении деятельности, для которой устанавливается публичный сервитут, определяются требованиями «ГОСТ 34741-2021. Межгосударственный стандарт. Системы газораспределительные. Требования к эксплуатации сетей газораспределения природного газа».</w:t>
            </w:r>
            <w:r>
              <w:rPr>
                <w:rFonts w:ascii="Times New Roman" w:hAnsi="Times New Roman" w:eastAsia="Times New Roman" w:cs="Times New Roman"/>
                <w:bCs/>
                <w:i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highlight w:val="none"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Обоснование необходимости ус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тановления публичного сервитута: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копия свидетельства о государственной регистрации права собственности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от 17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.06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.20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15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л. в 1 экз.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(эксплуатация существующего с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ооружения с кадаст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ровым номером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68: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26:0000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000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:830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r>
            <w:r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правообладателе инженерного сооружения, которое переносится в связи с изъятием земельного участк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 для государственных или муниципальных нужд, а также о правообладателе инженерного сооружения, являющегося линейным объектом, реконструкция, капитальный ремонт которого (реконструкция, капитальный ремонт участков (частей) которого) осуществляются в связи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 планируемым строительством, реконструкцией, капитальным ремонтом объектов капитального строительства, в случае, если заявитель не является правообладателем указанного инженерного сооружения (в данном случае указываются сведения в объеме, предусмотренном </w:t>
            </w:r>
            <w:hyperlink r:id="rId9" w:tooltip="https://internet.garant.ru/#/document/404780709/entry/11002" w:anchor="/document/404780709/entry/11002" w:history="1">
              <w:r>
                <w:rPr>
                  <w:rFonts w:ascii="Times New Roman" w:hAnsi="Times New Roman" w:eastAsia="Times New Roman" w:cs="Times New Roman"/>
                  <w:b/>
                  <w:bCs/>
                  <w:lang w:eastAsia="ru-RU"/>
                </w:rPr>
                <w:t xml:space="preserve">строкой 2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 настоящей формы) (заполняется в случае, если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публичного сервитута в целях реконструкции инженерного сооружения, являющегося линейным объектом, реконструкции его участка (части), которое переносится в связи с изъятием такого земельного участка для государственных или муниципальных нужд, а также если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 публичного сервитута в целях реконструкции, капитального ремонта инженерного сооружения, являющегося линейным объектом, реконструкции, капитального ремонта его участков (частей)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85376" behindDoc="0" locked="0" layoutInCell="1" allowOverlap="1">
                      <wp:simplePos x="0" y="0"/>
                      <wp:positionH relativeFrom="column">
                        <wp:posOffset>2341245</wp:posOffset>
                      </wp:positionH>
                      <wp:positionV relativeFrom="paragraph">
                        <wp:posOffset>71755</wp:posOffset>
                      </wp:positionV>
                      <wp:extent cx="752475" cy="0"/>
                      <wp:effectExtent l="0" t="0" r="9525" b="19050"/>
                      <wp:wrapNone/>
                      <wp:docPr id="1" name="Прямая соединительная линия 5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 0" o:spid="_x0000_s0" style="position:absolute;left:0;text-align:left;z-index:251685376;mso-wrap-distance-left:9.00pt;mso-wrap-distance-top:0.00pt;mso-wrap-distance-right:9.00pt;mso-wrap-distance-bottom:0.00pt;visibility:visible;" from="184.3pt,5.6pt" to="243.6pt,5.6pt" filled="f" strokecolor="#000000" strokeweight="0.75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855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015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741" w:type="dxa"/>
            <w:textDirection w:val="lrTb"/>
            <w:noWrap w:val="false"/>
          </w:tcPr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68:26:0000074:116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  <w:t xml:space="preserve">Тамбовская обл, г.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  <w:t xml:space="preserve">ул. Гоголевская, д. 7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68:26:0000078:16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</w:rPr>
              <w:t xml:space="preserve">Российская Федерация, Тамбовская область, городской округ город Мичуринск, город Мичуринск, улица Марата,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</w:rPr>
              <w:t xml:space="preserve">земельный участок 170/42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/>
          </w:p>
          <w:p>
            <w:pPr>
              <w:pStyle w:val="673"/>
              <w:jc w:val="left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68:26:0000135:177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</w:rPr>
              <w:t xml:space="preserve">Российская Федерация, Тамбовская область, городской округ город Мичуринск, город Мичуринск, улица Гоголевская, 76 а/78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  <w:p>
            <w:pPr>
              <w:pStyle w:val="673"/>
              <w:jc w:val="left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68:26:0000148:75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  <w:t xml:space="preserve">Российская Федерация, Тамбовская область, г.о. город Мичуринск, г.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  <w:t xml:space="preserve">ул. Гоголевская, д. 137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68:26:0000148:72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  <w:t xml:space="preserve">Тамбовская обл., г.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  <w:t xml:space="preserve">ул. Гоголевская, д. 160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68:26:0000145:109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  <w:t xml:space="preserve">Тамбовская обл., г.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  <w:t xml:space="preserve">ул. Украинская, д. 221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68:26:0000104:38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Местоположение установлено относительно ориентира, расположенного в границах участка. Почтовый адрес ориентира: Тамбовская обл., г. Мичуринск, 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ул. Липецкая, д. 24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left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Тамбовская область, г. 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ул. Липецкая, д. 14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left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Тамбовская область, г. 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ул. 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8 Марта, д. 4, 6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left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 Тамбовская область, г. Мичуринск, 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ул. Гоголевская, д. 44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left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Тамбовская область,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 г. Мичуринск, 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ул. Украинская, д. 4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left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Право, на котором инженерное сооружение принадлежит заявителю (если п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одано ходатайство об установлении публичного сервитута для реконструкции, капитального ремонта или эксплуатации указанного инженерного сооружения, реконструкции или капитального ремонта участка (части) инженерного сооружения, являющегося линейным объектом)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собственность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способах представления результатов рассмотрения ходатайства: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виде электронного документа, который направляется уполномоченным органом заявителю посредством электронной почты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нет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виде бумажного документа, который заявитель получает непосредственно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при личном обращении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или посредством почтового отправления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да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Документы, прилагаемые к ходатайству: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- сведения о границах публичного сервитута на бумажном носителе на 11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л. в 1 экз.;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копия свидетельства о государственной регистрации права собственности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от 17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.06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.20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15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л. в 1 экз.;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копия приказа № 175 от 20.05.2025</w:t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/>
                <w:highlight w:val="white"/>
                <w:lang w:eastAsia="ru-RU"/>
              </w:rPr>
              <w:t xml:space="preserve">на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1 л. в 1 экз.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Всего: на 13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л.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</w:tc>
      </w:tr>
      <w:tr>
        <w:tblPrEx/>
        <w:trPr>
          <w:trHeight w:val="151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содержащиеся в них сведения соответствуют требованиям, установленным </w:t>
            </w:r>
            <w:hyperlink r:id="rId10" w:tooltip="https://base.garant.ru/12124624/0deb16c5f61d078635b619914dde3291/#block_39410" w:anchor="block_39410" w:history="1">
              <w:r>
                <w:rPr>
                  <w:rFonts w:ascii="Times New Roman" w:hAnsi="Times New Roman" w:eastAsia="Times New Roman" w:cs="Times New Roman"/>
                  <w:b/>
                  <w:bCs/>
                  <w:lang w:eastAsia="ru-RU"/>
                </w:rPr>
                <w:t xml:space="preserve">статьей 39.41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Подпись: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Дата: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___________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(подпись)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3399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 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П.Т. Лях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  <w:p>
            <w:pPr>
              <w:jc w:val="center"/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(инициалы, фамилия)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"___" ____ _____ г.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6" w:h="16838" w:orient="portrait"/>
      <w:pgMar w:top="567" w:right="851" w:bottom="28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egoe UI">
    <w:panose1 w:val="020B0502040504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29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29"/>
    <w:next w:val="829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0"/>
    <w:link w:val="674"/>
    <w:uiPriority w:val="10"/>
    <w:rPr>
      <w:sz w:val="48"/>
      <w:szCs w:val="48"/>
    </w:rPr>
  </w:style>
  <w:style w:type="paragraph" w:styleId="676">
    <w:name w:val="Subtitle"/>
    <w:basedOn w:val="829"/>
    <w:next w:val="829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0"/>
    <w:link w:val="676"/>
    <w:uiPriority w:val="11"/>
    <w:rPr>
      <w:sz w:val="24"/>
      <w:szCs w:val="24"/>
    </w:rPr>
  </w:style>
  <w:style w:type="paragraph" w:styleId="678">
    <w:name w:val="Quote"/>
    <w:basedOn w:val="829"/>
    <w:next w:val="829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29"/>
    <w:next w:val="829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character" w:styleId="682">
    <w:name w:val="Header Char"/>
    <w:basedOn w:val="830"/>
    <w:link w:val="840"/>
    <w:uiPriority w:val="99"/>
  </w:style>
  <w:style w:type="character" w:styleId="683">
    <w:name w:val="Footer Char"/>
    <w:basedOn w:val="830"/>
    <w:link w:val="842"/>
    <w:uiPriority w:val="99"/>
  </w:style>
  <w:style w:type="paragraph" w:styleId="684">
    <w:name w:val="Caption"/>
    <w:basedOn w:val="829"/>
    <w:next w:val="829"/>
    <w:link w:val="6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842"/>
    <w:uiPriority w:val="99"/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character" w:styleId="833">
    <w:name w:val="Hyperlink"/>
    <w:basedOn w:val="830"/>
    <w:uiPriority w:val="99"/>
    <w:unhideWhenUsed/>
    <w:rPr>
      <w:strike w:val="0"/>
      <w:color w:val="3272c0"/>
      <w:u w:val="none"/>
      <w:shd w:val="clear" w:color="auto" w:fill="auto"/>
    </w:rPr>
  </w:style>
  <w:style w:type="paragraph" w:styleId="834">
    <w:name w:val="Normal (Web)"/>
    <w:basedOn w:val="829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5" w:customStyle="1">
    <w:name w:val="s_1"/>
    <w:basedOn w:val="82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6" w:customStyle="1">
    <w:name w:val="s_3"/>
    <w:basedOn w:val="82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7" w:customStyle="1">
    <w:name w:val="s_16"/>
    <w:basedOn w:val="82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8" w:customStyle="1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839" w:customStyle="1">
    <w:name w:val="gmail-pull-left"/>
    <w:basedOn w:val="830"/>
  </w:style>
  <w:style w:type="paragraph" w:styleId="840">
    <w:name w:val="Header"/>
    <w:basedOn w:val="829"/>
    <w:link w:val="84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1" w:customStyle="1">
    <w:name w:val="Верхний колонтитул Знак"/>
    <w:basedOn w:val="830"/>
    <w:link w:val="840"/>
    <w:uiPriority w:val="99"/>
  </w:style>
  <w:style w:type="paragraph" w:styleId="842">
    <w:name w:val="Footer"/>
    <w:basedOn w:val="829"/>
    <w:link w:val="84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3" w:customStyle="1">
    <w:name w:val="Нижний колонтитул Знак"/>
    <w:basedOn w:val="830"/>
    <w:link w:val="842"/>
    <w:uiPriority w:val="99"/>
  </w:style>
  <w:style w:type="paragraph" w:styleId="844">
    <w:name w:val="Balloon Text"/>
    <w:basedOn w:val="829"/>
    <w:link w:val="84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30"/>
    <w:link w:val="84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base.garant.ru/12124624/0deb16c5f61d078635b619914dde3291/" TargetMode="External"/><Relationship Id="rId9" Type="http://schemas.openxmlformats.org/officeDocument/2006/relationships/hyperlink" Target="https://internet.garant.ru/" TargetMode="External"/><Relationship Id="rId10" Type="http://schemas.openxmlformats.org/officeDocument/2006/relationships/hyperlink" Target="https://base.garant.ru/12124624/0deb16c5f61d078635b619914dde3291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Сенкевич Анна Викторовна</dc:creator>
  <cp:lastModifiedBy>novoselceva_nv</cp:lastModifiedBy>
  <cp:revision>164</cp:revision>
  <dcterms:created xsi:type="dcterms:W3CDTF">2023-04-10T10:42:00Z</dcterms:created>
  <dcterms:modified xsi:type="dcterms:W3CDTF">2026-05-20T11:00:57Z</dcterms:modified>
</cp:coreProperties>
</file>